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18" w:rsidRPr="005D1930" w:rsidRDefault="0064681F" w:rsidP="00FE538C">
      <w:pPr>
        <w:spacing w:after="0" w:line="240" w:lineRule="auto"/>
        <w:rPr>
          <w:b/>
          <w:sz w:val="24"/>
          <w:szCs w:val="20"/>
        </w:rPr>
      </w:pPr>
      <w:r w:rsidRPr="005D1930">
        <w:rPr>
          <w:b/>
          <w:sz w:val="24"/>
        </w:rPr>
        <w:t>Guide de recommandation</w:t>
      </w:r>
      <w:r w:rsidR="008E6988">
        <w:rPr>
          <w:b/>
          <w:sz w:val="24"/>
        </w:rPr>
        <w:t>s</w:t>
      </w:r>
      <w:r w:rsidR="00FE538C" w:rsidRPr="005D1930">
        <w:rPr>
          <w:b/>
          <w:sz w:val="24"/>
          <w:szCs w:val="20"/>
        </w:rPr>
        <w:t xml:space="preserve"> de suivi</w:t>
      </w:r>
      <w:r w:rsidR="00F72EEC" w:rsidRPr="005D1930">
        <w:rPr>
          <w:b/>
          <w:sz w:val="24"/>
          <w:szCs w:val="20"/>
        </w:rPr>
        <w:t xml:space="preserve"> des chevaux de course</w:t>
      </w:r>
      <w:r w:rsidR="00FE538C" w:rsidRPr="005D1930">
        <w:rPr>
          <w:b/>
          <w:sz w:val="24"/>
          <w:szCs w:val="20"/>
        </w:rPr>
        <w:t xml:space="preserve"> </w:t>
      </w:r>
      <w:r w:rsidR="00B27B1B">
        <w:rPr>
          <w:b/>
          <w:sz w:val="24"/>
          <w:szCs w:val="20"/>
        </w:rPr>
        <w:t xml:space="preserve">de Galop </w:t>
      </w:r>
      <w:r w:rsidR="00FE538C" w:rsidRPr="005D1930">
        <w:rPr>
          <w:b/>
          <w:sz w:val="24"/>
          <w:szCs w:val="20"/>
        </w:rPr>
        <w:t>– Résumé</w:t>
      </w:r>
    </w:p>
    <w:p w:rsidR="00FE538C" w:rsidRPr="005D1930" w:rsidRDefault="00DC479C" w:rsidP="00FE538C">
      <w:pPr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pict>
          <v:rect id="_x0000_i1025" style="width:0;height:1.5pt" o:hralign="center" o:hrstd="t" o:hr="t" fillcolor="#a0a0a0" stroked="f"/>
        </w:pict>
      </w:r>
    </w:p>
    <w:p w:rsidR="00FE538C" w:rsidRPr="005D1930" w:rsidRDefault="00FE538C" w:rsidP="00FE538C">
      <w:pPr>
        <w:spacing w:line="240" w:lineRule="auto"/>
        <w:rPr>
          <w:szCs w:val="20"/>
        </w:rPr>
      </w:pPr>
      <w:r w:rsidRPr="005D1930">
        <w:rPr>
          <w:szCs w:val="20"/>
        </w:rPr>
        <w:t>Dr Eliot Forbes, Comité de l’IFAR</w:t>
      </w:r>
    </w:p>
    <w:p w:rsidR="00FE538C" w:rsidRPr="005D1930" w:rsidRDefault="00FE538C" w:rsidP="00FE538C">
      <w:pPr>
        <w:spacing w:line="240" w:lineRule="auto"/>
        <w:rPr>
          <w:b/>
          <w:sz w:val="24"/>
        </w:rPr>
      </w:pPr>
    </w:p>
    <w:p w:rsidR="005639A9" w:rsidRPr="005D1930" w:rsidRDefault="005639A9" w:rsidP="00563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Courier New"/>
          <w:color w:val="202124"/>
          <w:szCs w:val="20"/>
          <w:lang w:eastAsia="fr-FR"/>
        </w:rPr>
      </w:pPr>
      <w:r w:rsidRPr="005D1930">
        <w:rPr>
          <w:rFonts w:eastAsia="Times New Roman" w:cs="Courier New"/>
          <w:color w:val="202124"/>
          <w:szCs w:val="20"/>
          <w:lang w:eastAsia="fr-FR"/>
        </w:rPr>
        <w:t>L</w:t>
      </w:r>
      <w:r w:rsidR="0064681F" w:rsidRPr="005D1930">
        <w:rPr>
          <w:rFonts w:eastAsia="Times New Roman" w:cs="Courier New"/>
          <w:color w:val="202124"/>
          <w:szCs w:val="20"/>
          <w:lang w:eastAsia="fr-FR"/>
        </w:rPr>
        <w:t>e</w:t>
      </w:r>
      <w:r w:rsidRPr="005D1930">
        <w:rPr>
          <w:rFonts w:eastAsia="Times New Roman" w:cs="Courier New"/>
          <w:color w:val="202124"/>
          <w:szCs w:val="20"/>
          <w:lang w:eastAsia="fr-FR"/>
        </w:rPr>
        <w:t xml:space="preserve"> </w:t>
      </w:r>
      <w:r w:rsidR="0064681F" w:rsidRPr="005D1930">
        <w:rPr>
          <w:b/>
          <w:sz w:val="24"/>
        </w:rPr>
        <w:t xml:space="preserve">Guide de </w:t>
      </w:r>
      <w:r w:rsidR="004A0864">
        <w:rPr>
          <w:b/>
          <w:sz w:val="24"/>
        </w:rPr>
        <w:t>reconversion</w:t>
      </w:r>
      <w:r w:rsidR="00F72EEC" w:rsidRPr="005D1930">
        <w:rPr>
          <w:b/>
          <w:sz w:val="24"/>
        </w:rPr>
        <w:t xml:space="preserve"> des chevaux de course </w:t>
      </w:r>
      <w:r w:rsidRPr="005D1930">
        <w:rPr>
          <w:rFonts w:eastAsia="Times New Roman" w:cs="Courier New"/>
          <w:color w:val="202124"/>
          <w:szCs w:val="20"/>
          <w:lang w:eastAsia="fr-FR"/>
        </w:rPr>
        <w:t xml:space="preserve">a été développé par le Comité du Forum international pour </w:t>
      </w:r>
      <w:r w:rsidR="004A0864">
        <w:rPr>
          <w:rFonts w:eastAsia="Times New Roman" w:cs="Courier New"/>
          <w:color w:val="202124"/>
          <w:szCs w:val="20"/>
          <w:lang w:eastAsia="fr-FR"/>
        </w:rPr>
        <w:t>la reconversion</w:t>
      </w:r>
      <w:r w:rsidRPr="005D1930">
        <w:rPr>
          <w:rFonts w:eastAsia="Times New Roman" w:cs="Courier New"/>
          <w:color w:val="202124"/>
          <w:szCs w:val="20"/>
          <w:lang w:eastAsia="fr-FR"/>
        </w:rPr>
        <w:t xml:space="preserve"> des chevaux de course (IFAR) après </w:t>
      </w:r>
      <w:r w:rsidR="00B27B1B">
        <w:rPr>
          <w:rFonts w:eastAsia="Times New Roman" w:cs="Courier New"/>
          <w:color w:val="202124"/>
          <w:szCs w:val="20"/>
          <w:lang w:eastAsia="fr-FR"/>
        </w:rPr>
        <w:t xml:space="preserve">une étude et des débats concernant les </w:t>
      </w:r>
      <w:r w:rsidRPr="005D1930">
        <w:rPr>
          <w:rFonts w:eastAsia="Times New Roman" w:cs="Courier New"/>
          <w:color w:val="202124"/>
          <w:szCs w:val="20"/>
          <w:lang w:eastAsia="fr-FR"/>
        </w:rPr>
        <w:t xml:space="preserve">diverses stratégies de </w:t>
      </w:r>
      <w:r w:rsidR="004A0864">
        <w:rPr>
          <w:rFonts w:eastAsia="Times New Roman" w:cs="Courier New"/>
          <w:color w:val="202124"/>
          <w:szCs w:val="20"/>
          <w:lang w:eastAsia="fr-FR"/>
        </w:rPr>
        <w:t>reconversion</w:t>
      </w:r>
      <w:r w:rsidRPr="005D1930">
        <w:rPr>
          <w:rFonts w:eastAsia="Times New Roman" w:cs="Courier New"/>
          <w:color w:val="202124"/>
          <w:szCs w:val="20"/>
          <w:lang w:eastAsia="fr-FR"/>
        </w:rPr>
        <w:t xml:space="preserve"> existantes dans le monde.</w:t>
      </w:r>
    </w:p>
    <w:p w:rsidR="0064681F" w:rsidRPr="005D1930" w:rsidRDefault="0064681F" w:rsidP="0064681F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Courier New"/>
          <w:lang w:eastAsia="fr-FR"/>
        </w:rPr>
      </w:pPr>
      <w:r w:rsidRPr="005D1930">
        <w:rPr>
          <w:rFonts w:eastAsia="Times New Roman" w:cs="Courier New"/>
          <w:lang w:eastAsia="fr-FR"/>
        </w:rPr>
        <w:t xml:space="preserve">Le Comité a sélectionné des initiatives pratiques et éprouvées qui constitueront une feuille de route pour les </w:t>
      </w:r>
      <w:r w:rsidR="00F72EEC" w:rsidRPr="005D1930">
        <w:rPr>
          <w:rFonts w:eastAsia="Times New Roman" w:cs="Courier New"/>
          <w:lang w:eastAsia="fr-FR"/>
        </w:rPr>
        <w:t>entités</w:t>
      </w:r>
      <w:r w:rsidRPr="005D1930">
        <w:rPr>
          <w:rFonts w:eastAsia="Times New Roman" w:cs="Courier New"/>
          <w:lang w:eastAsia="fr-FR"/>
        </w:rPr>
        <w:t xml:space="preserve"> qui commencent leur parcours de </w:t>
      </w:r>
      <w:r w:rsidR="004A0864">
        <w:rPr>
          <w:rFonts w:eastAsia="Times New Roman" w:cs="Courier New"/>
          <w:lang w:eastAsia="fr-FR"/>
        </w:rPr>
        <w:t>reconversion</w:t>
      </w:r>
      <w:r w:rsidRPr="005D1930">
        <w:rPr>
          <w:rFonts w:eastAsia="Times New Roman" w:cs="Courier New"/>
          <w:lang w:eastAsia="fr-FR"/>
        </w:rPr>
        <w:t xml:space="preserve"> et qui pourraient servir </w:t>
      </w:r>
      <w:r w:rsidR="00F72EEC" w:rsidRPr="005D1930">
        <w:rPr>
          <w:rFonts w:eastAsia="Times New Roman" w:cs="Courier New"/>
          <w:lang w:eastAsia="fr-FR"/>
        </w:rPr>
        <w:t>d’outil de</w:t>
      </w:r>
      <w:r w:rsidRPr="005D1930">
        <w:rPr>
          <w:rFonts w:eastAsia="Times New Roman" w:cs="Courier New"/>
          <w:lang w:eastAsia="fr-FR"/>
        </w:rPr>
        <w:t xml:space="preserve"> contrôle</w:t>
      </w:r>
      <w:r w:rsidR="00F72EEC" w:rsidRPr="005D1930">
        <w:rPr>
          <w:rFonts w:eastAsia="Times New Roman" w:cs="Courier New"/>
          <w:lang w:eastAsia="fr-FR"/>
        </w:rPr>
        <w:t xml:space="preserve"> </w:t>
      </w:r>
      <w:r w:rsidR="004A0864">
        <w:rPr>
          <w:rFonts w:eastAsia="Times New Roman" w:cs="Courier New"/>
          <w:lang w:eastAsia="fr-FR"/>
        </w:rPr>
        <w:t>de base</w:t>
      </w:r>
      <w:r w:rsidRPr="005D1930">
        <w:rPr>
          <w:rFonts w:eastAsia="Times New Roman" w:cs="Courier New"/>
          <w:lang w:eastAsia="fr-FR"/>
        </w:rPr>
        <w:t xml:space="preserve"> pour </w:t>
      </w:r>
      <w:r w:rsidR="004A0864">
        <w:rPr>
          <w:rFonts w:eastAsia="Times New Roman" w:cs="Courier New"/>
          <w:lang w:eastAsia="fr-FR"/>
        </w:rPr>
        <w:t>un nombre plus important de</w:t>
      </w:r>
      <w:r w:rsidRPr="005D1930">
        <w:rPr>
          <w:rFonts w:eastAsia="Times New Roman" w:cs="Courier New"/>
          <w:lang w:eastAsia="fr-FR"/>
        </w:rPr>
        <w:t xml:space="preserve"> pays. Les </w:t>
      </w:r>
      <w:r w:rsidR="00F72EEC" w:rsidRPr="005D1930">
        <w:rPr>
          <w:rFonts w:eastAsia="Times New Roman" w:cs="Courier New"/>
          <w:lang w:eastAsia="fr-FR"/>
        </w:rPr>
        <w:t>entités</w:t>
      </w:r>
      <w:r w:rsidRPr="005D1930">
        <w:rPr>
          <w:rFonts w:eastAsia="Times New Roman" w:cs="Courier New"/>
          <w:lang w:eastAsia="fr-FR"/>
        </w:rPr>
        <w:t xml:space="preserve"> qui mettent en œuvre ces </w:t>
      </w:r>
      <w:r w:rsidR="00734705">
        <w:rPr>
          <w:rFonts w:eastAsia="Times New Roman" w:cs="Courier New"/>
          <w:lang w:eastAsia="fr-FR"/>
        </w:rPr>
        <w:t>objectifs</w:t>
      </w:r>
      <w:r w:rsidRPr="005D1930">
        <w:rPr>
          <w:rFonts w:eastAsia="Times New Roman" w:cs="Courier New"/>
          <w:lang w:eastAsia="fr-FR"/>
        </w:rPr>
        <w:t xml:space="preserve"> positionneront au mieux leurs </w:t>
      </w:r>
      <w:r w:rsidR="00F72EEC" w:rsidRPr="005D1930">
        <w:rPr>
          <w:rFonts w:eastAsia="Times New Roman" w:cs="Courier New"/>
          <w:lang w:eastAsia="fr-FR"/>
        </w:rPr>
        <w:t>filières</w:t>
      </w:r>
      <w:r w:rsidRPr="005D1930">
        <w:rPr>
          <w:rFonts w:eastAsia="Times New Roman" w:cs="Courier New"/>
          <w:lang w:eastAsia="fr-FR"/>
        </w:rPr>
        <w:t xml:space="preserve"> des courses pour un avenir solide et durable.</w:t>
      </w:r>
    </w:p>
    <w:p w:rsidR="0064681F" w:rsidRPr="005D1930" w:rsidRDefault="00F72EEC" w:rsidP="0064681F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y2iqfc"/>
          <w:color w:val="202124"/>
          <w:szCs w:val="20"/>
        </w:rPr>
      </w:pPr>
      <w:r w:rsidRPr="005D1930">
        <w:rPr>
          <w:rStyle w:val="y2iqfc"/>
        </w:rPr>
        <w:t xml:space="preserve">Le </w:t>
      </w:r>
      <w:r w:rsidRPr="005D1930">
        <w:rPr>
          <w:rStyle w:val="y2iqfc"/>
          <w:color w:val="202124"/>
          <w:szCs w:val="20"/>
        </w:rPr>
        <w:t xml:space="preserve">Guide de </w:t>
      </w:r>
      <w:r w:rsidR="004A0864">
        <w:rPr>
          <w:rStyle w:val="y2iqfc"/>
          <w:color w:val="202124"/>
          <w:szCs w:val="20"/>
        </w:rPr>
        <w:t>reconversion</w:t>
      </w:r>
      <w:r w:rsidRPr="005D1930">
        <w:rPr>
          <w:rStyle w:val="y2iqfc"/>
          <w:color w:val="202124"/>
          <w:szCs w:val="20"/>
        </w:rPr>
        <w:t xml:space="preserve"> </w:t>
      </w:r>
      <w:r w:rsidR="0064681F" w:rsidRPr="005D1930">
        <w:rPr>
          <w:rStyle w:val="y2iqfc"/>
          <w:color w:val="202124"/>
          <w:szCs w:val="20"/>
        </w:rPr>
        <w:t xml:space="preserve">comprend six </w:t>
      </w:r>
      <w:r w:rsidR="00734705">
        <w:rPr>
          <w:rStyle w:val="y2iqfc"/>
          <w:color w:val="202124"/>
          <w:szCs w:val="20"/>
        </w:rPr>
        <w:t>objectifs</w:t>
      </w:r>
      <w:r w:rsidR="0064681F" w:rsidRPr="005D1930">
        <w:rPr>
          <w:rStyle w:val="y2iqfc"/>
          <w:color w:val="202124"/>
          <w:szCs w:val="20"/>
        </w:rPr>
        <w:t>, qui forment la base d'un cadre de suivi complet :</w:t>
      </w:r>
    </w:p>
    <w:p w:rsidR="00F72EEC" w:rsidRPr="005D1930" w:rsidRDefault="00F72EEC" w:rsidP="00F710A6">
      <w:pPr>
        <w:pStyle w:val="PrformatHTML"/>
        <w:numPr>
          <w:ilvl w:val="0"/>
          <w:numId w:val="3"/>
        </w:numPr>
        <w:spacing w:after="240"/>
        <w:jc w:val="both"/>
        <w:rPr>
          <w:rStyle w:val="y2iqfc"/>
          <w:rFonts w:asciiTheme="minorHAnsi" w:hAnsiTheme="minorHAnsi"/>
          <w:color w:val="202124"/>
          <w:sz w:val="22"/>
        </w:rPr>
      </w:pPr>
      <w:r w:rsidRPr="005D1930">
        <w:rPr>
          <w:rStyle w:val="y2iqfc"/>
          <w:rFonts w:asciiTheme="minorHAnsi" w:hAnsiTheme="minorHAnsi"/>
          <w:color w:val="202124"/>
          <w:sz w:val="22"/>
        </w:rPr>
        <w:t xml:space="preserve">La « gestion tout au long de la vie » concerne la mise en œuvre de règles qui assurent une surveillance réglementaire, renforcent la sensibilisation et la responsabilisation au niveau des participants et facilitent la 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>collecte de données pertinentes</w:t>
      </w:r>
    </w:p>
    <w:p w:rsidR="00F72EEC" w:rsidRPr="005D1930" w:rsidRDefault="00F72EEC" w:rsidP="00F710A6">
      <w:pPr>
        <w:pStyle w:val="PrformatHTML"/>
        <w:numPr>
          <w:ilvl w:val="0"/>
          <w:numId w:val="3"/>
        </w:numPr>
        <w:spacing w:after="240"/>
        <w:jc w:val="both"/>
        <w:rPr>
          <w:rFonts w:asciiTheme="minorHAnsi" w:hAnsiTheme="minorHAnsi"/>
          <w:color w:val="202124"/>
          <w:sz w:val="22"/>
        </w:rPr>
      </w:pPr>
      <w:r w:rsidRPr="005D1930">
        <w:rPr>
          <w:rStyle w:val="y2iqfc"/>
          <w:rFonts w:asciiTheme="minorHAnsi" w:hAnsiTheme="minorHAnsi"/>
          <w:color w:val="202124"/>
          <w:sz w:val="22"/>
        </w:rPr>
        <w:t>Les « stratégies de transition » visent à stimuler la demande et l'offre de pur-sang réformés des courses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 xml:space="preserve"> sur le marché équestre</w:t>
      </w:r>
    </w:p>
    <w:p w:rsidR="00F72EEC" w:rsidRPr="005D1930" w:rsidRDefault="00F72EEC" w:rsidP="00F710A6">
      <w:pPr>
        <w:pStyle w:val="PrformatHTML"/>
        <w:numPr>
          <w:ilvl w:val="0"/>
          <w:numId w:val="3"/>
        </w:numPr>
        <w:spacing w:after="240"/>
        <w:jc w:val="both"/>
        <w:rPr>
          <w:rStyle w:val="y2iqfc"/>
          <w:rFonts w:asciiTheme="minorHAnsi" w:hAnsiTheme="minorHAnsi"/>
          <w:color w:val="202124"/>
          <w:sz w:val="22"/>
        </w:rPr>
      </w:pPr>
      <w:r w:rsidRPr="005D1930">
        <w:rPr>
          <w:rStyle w:val="y2iqfc"/>
          <w:rFonts w:asciiTheme="minorHAnsi" w:hAnsiTheme="minorHAnsi"/>
          <w:color w:val="202124"/>
          <w:sz w:val="22"/>
        </w:rPr>
        <w:t>Le « filet de sécurité » exige que les entités mettent en œuvre des initiatives qui aident et soutiennent les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 xml:space="preserve"> chevaux à risque de négligence</w:t>
      </w:r>
    </w:p>
    <w:p w:rsidR="0064681F" w:rsidRPr="005D1930" w:rsidRDefault="00F72EEC" w:rsidP="00F710A6">
      <w:pPr>
        <w:pStyle w:val="PrformatHTML"/>
        <w:numPr>
          <w:ilvl w:val="0"/>
          <w:numId w:val="3"/>
        </w:numPr>
        <w:spacing w:after="240"/>
        <w:jc w:val="both"/>
        <w:rPr>
          <w:rStyle w:val="y2iqfc"/>
          <w:rFonts w:asciiTheme="minorHAnsi" w:hAnsiTheme="minorHAnsi"/>
        </w:rPr>
      </w:pPr>
      <w:r w:rsidRPr="005D1930">
        <w:rPr>
          <w:rStyle w:val="y2iqfc"/>
          <w:rFonts w:asciiTheme="minorHAnsi" w:hAnsiTheme="minorHAnsi"/>
          <w:color w:val="202124"/>
          <w:sz w:val="22"/>
        </w:rPr>
        <w:t xml:space="preserve">Il est recommandé aux autorités </w:t>
      </w:r>
      <w:r w:rsidR="00B27B1B">
        <w:rPr>
          <w:rStyle w:val="y2iqfc"/>
          <w:rFonts w:asciiTheme="minorHAnsi" w:hAnsiTheme="minorHAnsi"/>
          <w:color w:val="202124"/>
          <w:sz w:val="22"/>
        </w:rPr>
        <w:t>hippiques</w:t>
      </w:r>
      <w:r w:rsidRPr="005D1930">
        <w:rPr>
          <w:rStyle w:val="y2iqfc"/>
          <w:rFonts w:asciiTheme="minorHAnsi" w:hAnsiTheme="minorHAnsi"/>
          <w:color w:val="202124"/>
          <w:sz w:val="22"/>
        </w:rPr>
        <w:t xml:space="preserve"> d'envisager l'utilisation de pur-sang réformés des courses comme « chevaux </w:t>
      </w:r>
      <w:r w:rsidR="00B27B1B">
        <w:rPr>
          <w:rStyle w:val="y2iqfc"/>
          <w:rFonts w:asciiTheme="minorHAnsi" w:hAnsiTheme="minorHAnsi"/>
          <w:color w:val="202124"/>
          <w:sz w:val="22"/>
        </w:rPr>
        <w:t xml:space="preserve">en </w:t>
      </w:r>
      <w:proofErr w:type="spellStart"/>
      <w:r w:rsidR="00B27B1B">
        <w:rPr>
          <w:rStyle w:val="y2iqfc"/>
          <w:rFonts w:asciiTheme="minorHAnsi" w:hAnsiTheme="minorHAnsi"/>
          <w:color w:val="202124"/>
          <w:sz w:val="22"/>
        </w:rPr>
        <w:t>équi</w:t>
      </w:r>
      <w:r w:rsidRPr="005D1930">
        <w:rPr>
          <w:rStyle w:val="y2iqfc"/>
          <w:rFonts w:asciiTheme="minorHAnsi" w:hAnsiTheme="minorHAnsi"/>
          <w:color w:val="202124"/>
          <w:sz w:val="22"/>
        </w:rPr>
        <w:t>thérapie</w:t>
      </w:r>
      <w:proofErr w:type="spellEnd"/>
      <w:r w:rsidRPr="005D1930">
        <w:rPr>
          <w:rStyle w:val="y2iqfc"/>
          <w:rFonts w:asciiTheme="minorHAnsi" w:hAnsiTheme="minorHAnsi"/>
          <w:color w:val="202124"/>
          <w:sz w:val="22"/>
        </w:rPr>
        <w:t> » pour renforce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 xml:space="preserve">r l'engagement </w:t>
      </w:r>
      <w:r w:rsidR="00B27B1B">
        <w:rPr>
          <w:rStyle w:val="y2iqfc"/>
          <w:rFonts w:asciiTheme="minorHAnsi" w:hAnsiTheme="minorHAnsi"/>
          <w:color w:val="202124"/>
          <w:sz w:val="22"/>
        </w:rPr>
        <w:t>collectif</w:t>
      </w:r>
    </w:p>
    <w:p w:rsidR="00E67DF5" w:rsidRPr="005D1930" w:rsidRDefault="00E67DF5" w:rsidP="00F710A6">
      <w:pPr>
        <w:pStyle w:val="PrformatHTML"/>
        <w:numPr>
          <w:ilvl w:val="0"/>
          <w:numId w:val="3"/>
        </w:numPr>
        <w:spacing w:after="240"/>
        <w:jc w:val="both"/>
        <w:rPr>
          <w:rStyle w:val="y2iqfc"/>
          <w:rFonts w:asciiTheme="minorHAnsi" w:hAnsiTheme="minorHAnsi"/>
          <w:color w:val="202124"/>
          <w:sz w:val="22"/>
        </w:rPr>
      </w:pPr>
      <w:r w:rsidRPr="005D1930">
        <w:rPr>
          <w:rStyle w:val="y2iqfc"/>
          <w:rFonts w:asciiTheme="minorHAnsi" w:hAnsiTheme="minorHAnsi"/>
          <w:color w:val="202124"/>
          <w:sz w:val="22"/>
        </w:rPr>
        <w:t xml:space="preserve">La « promotion des pur-sang » est identifiée comme une activité importante pour s'assurer que la race pur-sang reste </w:t>
      </w:r>
      <w:r w:rsidR="004A0864">
        <w:rPr>
          <w:rStyle w:val="y2iqfc"/>
          <w:rFonts w:asciiTheme="minorHAnsi" w:hAnsiTheme="minorHAnsi"/>
          <w:color w:val="202124"/>
          <w:sz w:val="22"/>
        </w:rPr>
        <w:t>attractif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 xml:space="preserve"> sur le marché équestre</w:t>
      </w:r>
    </w:p>
    <w:p w:rsidR="005639A9" w:rsidRPr="005D1930" w:rsidRDefault="00E67DF5" w:rsidP="00E67DF5">
      <w:pPr>
        <w:pStyle w:val="PrformatHTML"/>
        <w:numPr>
          <w:ilvl w:val="0"/>
          <w:numId w:val="3"/>
        </w:numPr>
        <w:jc w:val="both"/>
        <w:rPr>
          <w:rStyle w:val="y2iqfc"/>
          <w:rFonts w:asciiTheme="minorHAnsi" w:hAnsiTheme="minorHAnsi"/>
          <w:sz w:val="22"/>
        </w:rPr>
      </w:pPr>
      <w:r w:rsidRPr="005D1930">
        <w:rPr>
          <w:rStyle w:val="y2iqfc"/>
          <w:rFonts w:asciiTheme="minorHAnsi" w:hAnsiTheme="minorHAnsi"/>
          <w:color w:val="202124"/>
          <w:sz w:val="22"/>
        </w:rPr>
        <w:t xml:space="preserve">Le « réseau » est mis en avant comme un outil 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>incontournable</w:t>
      </w:r>
      <w:r w:rsidRPr="005D1930">
        <w:rPr>
          <w:rStyle w:val="y2iqfc"/>
          <w:rFonts w:asciiTheme="minorHAnsi" w:hAnsiTheme="minorHAnsi"/>
          <w:color w:val="202124"/>
          <w:sz w:val="22"/>
        </w:rPr>
        <w:t xml:space="preserve"> pour apprendre 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>l</w:t>
      </w:r>
      <w:r w:rsidRPr="005D1930">
        <w:rPr>
          <w:rStyle w:val="y2iqfc"/>
          <w:rFonts w:asciiTheme="minorHAnsi" w:hAnsiTheme="minorHAnsi"/>
          <w:color w:val="202124"/>
          <w:sz w:val="22"/>
        </w:rPr>
        <w:t>es meilleures pratiques internationales et renforcer l'engagem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>ent avec la communauté équestre</w:t>
      </w:r>
    </w:p>
    <w:p w:rsidR="00554C5D" w:rsidRPr="005D1930" w:rsidRDefault="00554C5D" w:rsidP="00554C5D">
      <w:pPr>
        <w:pStyle w:val="PrformatHTML"/>
        <w:jc w:val="both"/>
        <w:rPr>
          <w:rStyle w:val="y2iqfc"/>
          <w:rFonts w:asciiTheme="minorHAnsi" w:hAnsiTheme="minorHAnsi"/>
          <w:color w:val="202124"/>
          <w:sz w:val="22"/>
        </w:rPr>
      </w:pPr>
    </w:p>
    <w:p w:rsidR="00554C5D" w:rsidRPr="005D1930" w:rsidRDefault="00734705" w:rsidP="00554C5D">
      <w:pPr>
        <w:pStyle w:val="PrformatHTML"/>
        <w:jc w:val="both"/>
        <w:rPr>
          <w:rStyle w:val="y2iqfc"/>
          <w:rFonts w:asciiTheme="minorHAnsi" w:hAnsiTheme="minorHAnsi"/>
          <w:sz w:val="22"/>
        </w:rPr>
      </w:pPr>
      <w:r>
        <w:rPr>
          <w:rStyle w:val="y2iqfc"/>
          <w:rFonts w:asciiTheme="minorHAnsi" w:hAnsiTheme="minorHAnsi"/>
          <w:color w:val="202124"/>
          <w:sz w:val="22"/>
        </w:rPr>
        <w:t>L’ensemble de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 xml:space="preserve"> ces </w:t>
      </w:r>
      <w:r>
        <w:rPr>
          <w:rStyle w:val="y2iqfc"/>
          <w:rFonts w:asciiTheme="minorHAnsi" w:hAnsiTheme="minorHAnsi"/>
          <w:color w:val="202124"/>
          <w:sz w:val="22"/>
        </w:rPr>
        <w:t>orientations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 xml:space="preserve"> ne conviendront pas à toutes les </w:t>
      </w:r>
      <w:r w:rsidR="00B27B1B">
        <w:rPr>
          <w:rStyle w:val="y2iqfc"/>
          <w:rFonts w:asciiTheme="minorHAnsi" w:hAnsiTheme="minorHAnsi"/>
          <w:color w:val="202124"/>
          <w:sz w:val="22"/>
        </w:rPr>
        <w:t>entités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 xml:space="preserve"> de course, mais l'IFAR encourage chaque </w:t>
      </w:r>
      <w:r w:rsidR="00B27B1B">
        <w:rPr>
          <w:rStyle w:val="y2iqfc"/>
          <w:rFonts w:asciiTheme="minorHAnsi" w:hAnsiTheme="minorHAnsi"/>
          <w:color w:val="202124"/>
          <w:sz w:val="22"/>
        </w:rPr>
        <w:t>structure</w:t>
      </w:r>
      <w:r w:rsidR="00554C5D" w:rsidRPr="005D1930">
        <w:rPr>
          <w:rStyle w:val="y2iqfc"/>
          <w:rFonts w:asciiTheme="minorHAnsi" w:hAnsiTheme="minorHAnsi"/>
          <w:color w:val="202124"/>
          <w:sz w:val="22"/>
        </w:rPr>
        <w:t xml:space="preserve"> à revoir continuellement ses pratiques et à chercher à les améliorer.</w:t>
      </w:r>
    </w:p>
    <w:p w:rsidR="005639A9" w:rsidRPr="005D1930" w:rsidRDefault="005639A9" w:rsidP="00646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 w:cs="Courier New"/>
          <w:color w:val="202124"/>
          <w:szCs w:val="20"/>
          <w:lang w:eastAsia="fr-FR"/>
        </w:rPr>
      </w:pPr>
    </w:p>
    <w:p w:rsidR="00070528" w:rsidRPr="005D1930" w:rsidRDefault="00070528" w:rsidP="00646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y2iqfc"/>
          <w:color w:val="202124"/>
          <w:szCs w:val="20"/>
        </w:rPr>
      </w:pPr>
      <w:r w:rsidRPr="005D1930">
        <w:rPr>
          <w:rStyle w:val="y2iqfc"/>
          <w:color w:val="202124"/>
          <w:szCs w:val="20"/>
        </w:rPr>
        <w:t xml:space="preserve">L'IFAR est un forum indépendant qui </w:t>
      </w:r>
      <w:r w:rsidR="00B27B1B">
        <w:rPr>
          <w:rStyle w:val="y2iqfc"/>
          <w:color w:val="202124"/>
          <w:szCs w:val="20"/>
        </w:rPr>
        <w:t>tient compte d</w:t>
      </w:r>
      <w:r w:rsidRPr="005D1930">
        <w:rPr>
          <w:rStyle w:val="y2iqfc"/>
          <w:color w:val="202124"/>
          <w:szCs w:val="20"/>
        </w:rPr>
        <w:t xml:space="preserve">es différences géographiques et </w:t>
      </w:r>
      <w:r w:rsidR="00F718E7">
        <w:rPr>
          <w:rStyle w:val="y2iqfc"/>
          <w:color w:val="202124"/>
          <w:szCs w:val="20"/>
        </w:rPr>
        <w:t>contextuelles</w:t>
      </w:r>
      <w:r w:rsidRPr="005D1930">
        <w:rPr>
          <w:rStyle w:val="y2iqfc"/>
          <w:color w:val="202124"/>
          <w:szCs w:val="20"/>
        </w:rPr>
        <w:t xml:space="preserve"> entre les pays de courses hippiques et est conçu pour améliorer le suivi des pur-sang dans le monde entier. En collaboration avec la Fédération Internationale des Autorités Hippiques (FIAH), l'IFAR </w:t>
      </w:r>
      <w:r w:rsidR="00465EB9" w:rsidRPr="005D1930">
        <w:rPr>
          <w:rStyle w:val="y2iqfc"/>
          <w:color w:val="202124"/>
          <w:szCs w:val="20"/>
        </w:rPr>
        <w:t xml:space="preserve">vise à </w:t>
      </w:r>
      <w:r w:rsidRPr="005D1930">
        <w:rPr>
          <w:rStyle w:val="y2iqfc"/>
          <w:color w:val="202124"/>
          <w:szCs w:val="20"/>
        </w:rPr>
        <w:t xml:space="preserve">sensibiliser à l'importance du bien-être des pur-sang, améliorer </w:t>
      </w:r>
      <w:r w:rsidR="00B27B1B">
        <w:rPr>
          <w:rStyle w:val="y2iqfc"/>
          <w:color w:val="202124"/>
          <w:szCs w:val="20"/>
        </w:rPr>
        <w:t>la formation aux</w:t>
      </w:r>
      <w:r w:rsidRPr="005D1930">
        <w:rPr>
          <w:rStyle w:val="y2iqfc"/>
          <w:color w:val="202124"/>
          <w:szCs w:val="20"/>
        </w:rPr>
        <w:t xml:space="preserve"> soins et </w:t>
      </w:r>
      <w:r w:rsidR="00465EB9" w:rsidRPr="005D1930">
        <w:rPr>
          <w:rStyle w:val="y2iqfc"/>
          <w:color w:val="202124"/>
          <w:szCs w:val="20"/>
        </w:rPr>
        <w:t>à contribuer</w:t>
      </w:r>
      <w:r w:rsidRPr="005D1930">
        <w:rPr>
          <w:rStyle w:val="y2iqfc"/>
          <w:color w:val="202124"/>
          <w:szCs w:val="20"/>
        </w:rPr>
        <w:t xml:space="preserve"> à accroître la demande d'anciens chevaux de courses dans d'autres sports équestres. Pour plus d'informations sur l'IFAR, visitez</w:t>
      </w:r>
      <w:r w:rsidR="00465EB9" w:rsidRPr="005D1930">
        <w:rPr>
          <w:rStyle w:val="y2iqfc"/>
          <w:color w:val="202124"/>
          <w:szCs w:val="20"/>
        </w:rPr>
        <w:t xml:space="preserve"> le site</w:t>
      </w:r>
      <w:r w:rsidRPr="005D1930">
        <w:rPr>
          <w:rStyle w:val="y2iqfc"/>
          <w:color w:val="202124"/>
          <w:szCs w:val="20"/>
        </w:rPr>
        <w:t xml:space="preserve"> </w:t>
      </w:r>
      <w:hyperlink r:id="rId6" w:history="1">
        <w:r w:rsidR="00853D53" w:rsidRPr="005D1930">
          <w:rPr>
            <w:rStyle w:val="Lienhypertexte"/>
            <w:szCs w:val="20"/>
          </w:rPr>
          <w:t>https://www.internationalracehorseaftercare.com</w:t>
        </w:r>
      </w:hyperlink>
      <w:r w:rsidRPr="005D1930">
        <w:rPr>
          <w:rStyle w:val="y2iqfc"/>
          <w:color w:val="202124"/>
          <w:szCs w:val="20"/>
        </w:rPr>
        <w:t>.</w:t>
      </w:r>
    </w:p>
    <w:p w:rsidR="00853D53" w:rsidRPr="00C82C59" w:rsidRDefault="00853D53">
      <w:pPr>
        <w:rPr>
          <w:rStyle w:val="y2iqfc"/>
          <w:b/>
          <w:color w:val="202124"/>
          <w:szCs w:val="20"/>
          <w:u w:val="single"/>
        </w:rPr>
      </w:pPr>
      <w:r w:rsidRPr="005D1930">
        <w:rPr>
          <w:rStyle w:val="y2iqfc"/>
          <w:color w:val="202124"/>
          <w:szCs w:val="20"/>
        </w:rPr>
        <w:br w:type="page"/>
      </w:r>
      <w:r w:rsidRPr="00DC479C">
        <w:rPr>
          <w:rStyle w:val="y2iqfc"/>
          <w:b/>
          <w:color w:val="202124"/>
          <w:sz w:val="24"/>
          <w:szCs w:val="20"/>
          <w:u w:val="single"/>
        </w:rPr>
        <w:lastRenderedPageBreak/>
        <w:t>Sommaire</w:t>
      </w:r>
      <w:bookmarkStart w:id="0" w:name="_GoBack"/>
      <w:bookmarkEnd w:id="0"/>
    </w:p>
    <w:tbl>
      <w:tblPr>
        <w:tblStyle w:val="Tableausimple1"/>
        <w:tblW w:w="9493" w:type="dxa"/>
        <w:tblLook w:val="04A0" w:firstRow="1" w:lastRow="0" w:firstColumn="1" w:lastColumn="0" w:noHBand="0" w:noVBand="1"/>
      </w:tblPr>
      <w:tblGrid>
        <w:gridCol w:w="1980"/>
        <w:gridCol w:w="3685"/>
        <w:gridCol w:w="3828"/>
      </w:tblGrid>
      <w:tr w:rsidR="00D3537D" w:rsidRPr="005D1930" w:rsidTr="00DC4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:rsidR="00853D53" w:rsidRPr="00734705" w:rsidRDefault="00734705" w:rsidP="00734705">
            <w:pPr>
              <w:jc w:val="center"/>
              <w:rPr>
                <w:sz w:val="22"/>
                <w:szCs w:val="20"/>
                <w:lang w:val="fr-FR"/>
              </w:rPr>
            </w:pPr>
            <w:r w:rsidRPr="00734705">
              <w:rPr>
                <w:sz w:val="22"/>
                <w:szCs w:val="20"/>
                <w:lang w:val="fr-FR"/>
              </w:rPr>
              <w:t>Objectif</w:t>
            </w:r>
          </w:p>
        </w:tc>
        <w:tc>
          <w:tcPr>
            <w:tcW w:w="3685" w:type="dxa"/>
            <w:shd w:val="clear" w:color="auto" w:fill="auto"/>
          </w:tcPr>
          <w:p w:rsidR="00853D53" w:rsidRPr="005D1930" w:rsidRDefault="00853D53" w:rsidP="00853D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fr-FR"/>
              </w:rPr>
            </w:pPr>
            <w:r w:rsidRPr="005D1930">
              <w:rPr>
                <w:sz w:val="22"/>
                <w:szCs w:val="20"/>
                <w:lang w:val="fr-FR"/>
              </w:rPr>
              <w:t>Description</w:t>
            </w:r>
          </w:p>
        </w:tc>
        <w:tc>
          <w:tcPr>
            <w:tcW w:w="3828" w:type="dxa"/>
            <w:shd w:val="clear" w:color="auto" w:fill="auto"/>
          </w:tcPr>
          <w:p w:rsidR="00853D53" w:rsidRPr="005D1930" w:rsidRDefault="00853D53" w:rsidP="00B312E6">
            <w:pPr>
              <w:pStyle w:val="PrformatHTML"/>
              <w:shd w:val="clear" w:color="auto" w:fill="F8F9F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Principales caractéristiques</w:t>
            </w:r>
          </w:p>
        </w:tc>
      </w:tr>
      <w:tr w:rsidR="00853D53" w:rsidRPr="005D1930" w:rsidTr="00DC4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:rsidR="00853D53" w:rsidRPr="005D1930" w:rsidRDefault="00853D53" w:rsidP="00D0198F">
            <w:pPr>
              <w:pStyle w:val="PrformatHTML"/>
              <w:shd w:val="clear" w:color="auto" w:fill="F8F9FA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1. </w:t>
            </w:r>
            <w:r w:rsidR="00D0198F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Suivi longitudinal</w:t>
            </w:r>
          </w:p>
        </w:tc>
        <w:tc>
          <w:tcPr>
            <w:tcW w:w="3685" w:type="dxa"/>
            <w:shd w:val="clear" w:color="auto" w:fill="auto"/>
          </w:tcPr>
          <w:p w:rsidR="00853D53" w:rsidRPr="005D1930" w:rsidRDefault="00853D53" w:rsidP="0089507B">
            <w:pPr>
              <w:pStyle w:val="PrformatHTML"/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Concerne la mise en œuvre de règles qui assurent une surveillance réglementaire, sensibilise et responsabilise les participants, facilite la collecte de données pertinentes et facilite la transparence de l</w:t>
            </w:r>
            <w:r w:rsidR="00BF5C18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a filière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.</w:t>
            </w:r>
          </w:p>
          <w:p w:rsidR="00853D53" w:rsidRPr="005D1930" w:rsidRDefault="00853D53" w:rsidP="008950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fr-FR"/>
              </w:rPr>
            </w:pPr>
          </w:p>
        </w:tc>
        <w:tc>
          <w:tcPr>
            <w:tcW w:w="3828" w:type="dxa"/>
            <w:shd w:val="clear" w:color="auto" w:fill="auto"/>
          </w:tcPr>
          <w:p w:rsidR="00853D53" w:rsidRPr="005D1930" w:rsidRDefault="00853D53" w:rsidP="0089507B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Règles de traçabilité pendant les phases d'élevage et de course</w:t>
            </w:r>
            <w:r w:rsidR="00734705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</w:t>
            </w:r>
          </w:p>
          <w:p w:rsidR="00853D53" w:rsidRPr="005D1930" w:rsidRDefault="00853D53" w:rsidP="0089507B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Notification des règles de retraite (de course</w:t>
            </w:r>
            <w:r w:rsidR="00734705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et d'élevage)</w:t>
            </w:r>
          </w:p>
          <w:p w:rsidR="00853D53" w:rsidRPr="005D1930" w:rsidRDefault="00853D53" w:rsidP="0089507B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Règle de retraite obligatoire (ex. 12 ans)</w:t>
            </w:r>
          </w:p>
          <w:p w:rsidR="00853D53" w:rsidRPr="005D1930" w:rsidRDefault="00853D53" w:rsidP="0089507B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Collecte et publication des données de retraite</w:t>
            </w:r>
          </w:p>
          <w:p w:rsidR="00853D53" w:rsidRPr="005D1930" w:rsidRDefault="00853D53" w:rsidP="0089507B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Mise en place de stratégies de traçabilité post-retraite</w:t>
            </w:r>
          </w:p>
          <w:p w:rsidR="00853D53" w:rsidRPr="002B54B3" w:rsidRDefault="00853D53" w:rsidP="0089507B">
            <w:pPr>
              <w:pStyle w:val="Paragraphedeliste"/>
              <w:ind w:left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20"/>
                <w:lang w:val="fr-FR"/>
              </w:rPr>
            </w:pPr>
          </w:p>
        </w:tc>
      </w:tr>
      <w:tr w:rsidR="00D3537D" w:rsidRPr="005D1930" w:rsidTr="00DC4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:rsidR="00853D53" w:rsidRPr="005D1930" w:rsidRDefault="00853D53" w:rsidP="00FF6E8D">
            <w:pPr>
              <w:pStyle w:val="PrformatHTML"/>
              <w:shd w:val="clear" w:color="auto" w:fill="F8F9FA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2. </w:t>
            </w:r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Objectif d’aide à la reconversion</w:t>
            </w:r>
            <w:r w:rsidR="00D0198F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progressive</w:t>
            </w:r>
          </w:p>
          <w:p w:rsidR="00853D53" w:rsidRPr="005D1930" w:rsidRDefault="00853D53" w:rsidP="0089507B">
            <w:pPr>
              <w:rPr>
                <w:szCs w:val="20"/>
                <w:lang w:val="fr-FR"/>
              </w:rPr>
            </w:pPr>
          </w:p>
        </w:tc>
        <w:tc>
          <w:tcPr>
            <w:tcW w:w="3685" w:type="dxa"/>
            <w:shd w:val="clear" w:color="auto" w:fill="auto"/>
          </w:tcPr>
          <w:p w:rsidR="00853D53" w:rsidRPr="005D1930" w:rsidRDefault="00853D53" w:rsidP="00FF6E8D">
            <w:pPr>
              <w:pStyle w:val="PrformatHTML"/>
              <w:shd w:val="clear" w:color="auto" w:fill="F8F9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Cherche</w:t>
            </w:r>
            <w:r w:rsidR="00734705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à promouvoir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la </w:t>
            </w:r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reconversion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vers une deuxième carrière, notamment en stimulant l'offre et la demande</w:t>
            </w:r>
            <w:r w:rsidR="00734705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de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pur-sang </w:t>
            </w:r>
            <w:r w:rsidR="0089507B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réformés des courses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sur les marchés équestres.</w:t>
            </w:r>
          </w:p>
          <w:p w:rsidR="00853D53" w:rsidRPr="005D1930" w:rsidRDefault="00853D53" w:rsidP="00FF6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fr-FR"/>
              </w:rPr>
            </w:pPr>
          </w:p>
        </w:tc>
        <w:tc>
          <w:tcPr>
            <w:tcW w:w="3828" w:type="dxa"/>
            <w:shd w:val="clear" w:color="auto" w:fill="auto"/>
          </w:tcPr>
          <w:p w:rsidR="00853D53" w:rsidRPr="005D1930" w:rsidRDefault="00734705" w:rsidP="00B312E6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Renfort 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de l'offre, par ex</w:t>
            </w:r>
            <w:r w:rsidR="00602A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emple,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exploitation d'installations de 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reconversion</w:t>
            </w:r>
            <w:r w:rsidR="00602A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,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programmes d'assurance de la qualité pour les 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hébergeurs</w:t>
            </w:r>
          </w:p>
          <w:p w:rsidR="00853D53" w:rsidRPr="005D1930" w:rsidRDefault="00734705" w:rsidP="00B312E6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Renfort de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la demande, par ex</w:t>
            </w:r>
            <w:r w:rsidR="00602A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emple,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p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rogrammes de parrainage et de soutien équestres hors </w:t>
            </w:r>
            <w:r w:rsidR="00602A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course</w:t>
            </w:r>
          </w:p>
          <w:p w:rsidR="00853D53" w:rsidRPr="005D1930" w:rsidRDefault="007059D8" w:rsidP="00B312E6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Optimisation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de la transition 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entre l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es 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institut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ions des courses 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et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les </w:t>
            </w:r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structures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équestres</w:t>
            </w:r>
          </w:p>
          <w:p w:rsidR="0089507B" w:rsidRPr="002B54B3" w:rsidRDefault="0089507B" w:rsidP="00B312E6">
            <w:pPr>
              <w:pStyle w:val="PrformatHTML"/>
              <w:shd w:val="clear" w:color="auto" w:fill="F8F9F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12"/>
                <w:lang w:val="fr-FR"/>
              </w:rPr>
            </w:pPr>
          </w:p>
        </w:tc>
      </w:tr>
      <w:tr w:rsidR="00853D53" w:rsidRPr="005D1930" w:rsidTr="00DC4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:rsidR="00853D53" w:rsidRPr="005D1930" w:rsidRDefault="00853D53" w:rsidP="00602A7D">
            <w:pPr>
              <w:pStyle w:val="PrformatHTML"/>
              <w:shd w:val="clear" w:color="auto" w:fill="F8F9FA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3. Filet de sécurité</w:t>
            </w:r>
          </w:p>
        </w:tc>
        <w:tc>
          <w:tcPr>
            <w:tcW w:w="3685" w:type="dxa"/>
            <w:shd w:val="clear" w:color="auto" w:fill="auto"/>
          </w:tcPr>
          <w:p w:rsidR="00853D53" w:rsidRPr="005D1930" w:rsidRDefault="002450B3" w:rsidP="00FF6E8D">
            <w:pPr>
              <w:pStyle w:val="PrformatHTML"/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Politique 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d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’</w:t>
            </w:r>
            <w:r w:rsidR="005C76A9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aides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d'urgence et soutien essentiel aux chevaux 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en 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souffran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ce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ou 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subissant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de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négligence</w:t>
            </w: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.</w:t>
            </w:r>
          </w:p>
          <w:p w:rsidR="00853D53" w:rsidRPr="005D1930" w:rsidRDefault="00853D53" w:rsidP="00FF6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fr-FR"/>
              </w:rPr>
            </w:pPr>
          </w:p>
        </w:tc>
        <w:tc>
          <w:tcPr>
            <w:tcW w:w="3828" w:type="dxa"/>
            <w:shd w:val="clear" w:color="auto" w:fill="auto"/>
          </w:tcPr>
          <w:p w:rsidR="00853D53" w:rsidRPr="005D1930" w:rsidRDefault="00853D53" w:rsidP="00B312E6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Développer, soutenir ou parrainer des associations caritatives de sauvetage équin et/ou des soins vétérinaires d'urgence</w:t>
            </w:r>
          </w:p>
          <w:p w:rsidR="00853D53" w:rsidRPr="005D1930" w:rsidRDefault="00853D53" w:rsidP="00B312E6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Prog</w:t>
            </w:r>
            <w:r w:rsidR="002B54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rammes de soutien administratif</w:t>
            </w:r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"</w:t>
            </w:r>
            <w:r w:rsidR="00F542F8" w:rsidRPr="00F542F8">
              <w:rPr>
                <w:rStyle w:val="y2iqfc"/>
                <w:rFonts w:asciiTheme="minorHAnsi" w:hAnsiTheme="minorHAnsi"/>
                <w:i/>
                <w:color w:val="202124"/>
                <w:sz w:val="22"/>
                <w:lang w:val="fr-FR"/>
              </w:rPr>
              <w:t xml:space="preserve">en circuit </w:t>
            </w:r>
            <w:r w:rsidR="005C76A9" w:rsidRPr="00F542F8">
              <w:rPr>
                <w:rStyle w:val="y2iqfc"/>
                <w:rFonts w:asciiTheme="minorHAnsi" w:hAnsiTheme="minorHAnsi"/>
                <w:i/>
                <w:color w:val="202124"/>
                <w:sz w:val="22"/>
                <w:lang w:val="fr-FR"/>
              </w:rPr>
              <w:t>complet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" pour mettre en relation un cheval dans le besoin avec une personne désignée</w:t>
            </w:r>
          </w:p>
          <w:p w:rsidR="00853D53" w:rsidRPr="00B312E6" w:rsidRDefault="00F542F8" w:rsidP="00B312E6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Aide au r</w:t>
            </w:r>
            <w:r w:rsidR="00C82C59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ecours</w:t>
            </w:r>
            <w:r w:rsidR="005C76A9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à l'euthanasie </w:t>
            </w:r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lorsque</w:t>
            </w:r>
            <w:r w:rsidR="005C76A9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nécessaire</w:t>
            </w:r>
          </w:p>
          <w:p w:rsidR="00853D53" w:rsidRPr="002B54B3" w:rsidRDefault="00853D53" w:rsidP="00B312E6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eastAsia="Times New Roman" w:cs="Courier New"/>
                <w:color w:val="202124"/>
                <w:sz w:val="8"/>
                <w:szCs w:val="20"/>
                <w:lang w:val="fr-FR" w:eastAsia="fr-FR"/>
              </w:rPr>
            </w:pPr>
          </w:p>
        </w:tc>
      </w:tr>
      <w:tr w:rsidR="00D3537D" w:rsidRPr="005D1930" w:rsidTr="00DC4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:rsidR="00853D53" w:rsidRPr="005D1930" w:rsidRDefault="00853D53" w:rsidP="002450B3">
            <w:pPr>
              <w:pStyle w:val="PrformatHTML"/>
              <w:shd w:val="clear" w:color="auto" w:fill="F8F9FA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4.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</w:t>
            </w:r>
            <w:proofErr w:type="spellStart"/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Équit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hérapie</w:t>
            </w:r>
            <w:proofErr w:type="spellEnd"/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et 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engagement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</w:t>
            </w:r>
            <w:r w:rsidR="005D1930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social</w:t>
            </w:r>
          </w:p>
        </w:tc>
        <w:tc>
          <w:tcPr>
            <w:tcW w:w="3685" w:type="dxa"/>
            <w:shd w:val="clear" w:color="auto" w:fill="auto"/>
          </w:tcPr>
          <w:p w:rsidR="00853D53" w:rsidRPr="005D1930" w:rsidRDefault="00853D53" w:rsidP="00FF6E8D">
            <w:pPr>
              <w:pStyle w:val="PrformatHTML"/>
              <w:shd w:val="clear" w:color="auto" w:fill="F8F9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Fait référence 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à des 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programmes où les pur-sang 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réformés des courses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son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t utilisés à titre thérap</w:t>
            </w:r>
            <w:r w:rsidR="002669C5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eut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ique ou </w:t>
            </w:r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pour d’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autres initiatives de soutien </w:t>
            </w:r>
            <w:r w:rsidR="005D1930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social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.</w:t>
            </w:r>
          </w:p>
          <w:p w:rsidR="00853D53" w:rsidRPr="005D1930" w:rsidRDefault="00853D53" w:rsidP="00FF6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fr-FR"/>
              </w:rPr>
            </w:pPr>
          </w:p>
        </w:tc>
        <w:tc>
          <w:tcPr>
            <w:tcW w:w="3828" w:type="dxa"/>
            <w:shd w:val="clear" w:color="auto" w:fill="auto"/>
          </w:tcPr>
          <w:p w:rsidR="00853D53" w:rsidRPr="005D1930" w:rsidRDefault="00853D53" w:rsidP="00FF6E8D">
            <w:pPr>
              <w:pStyle w:val="PrformatHTML"/>
              <w:shd w:val="clear" w:color="auto" w:fill="F8F9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Les 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institutions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de course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</w:t>
            </w:r>
            <w:r w:rsidR="00070D36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participent activement à la promotion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et/ou </w:t>
            </w:r>
            <w:r w:rsidR="00070D36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au soutien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</w:t>
            </w:r>
            <w:r w:rsidR="00070D36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à 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l'utilisation de pur-sang 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réformés des courses </w:t>
            </w:r>
            <w:r w:rsidR="00070D36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auprès d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es centres de </w:t>
            </w:r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d’</w:t>
            </w:r>
            <w:proofErr w:type="spellStart"/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équit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h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érapie</w:t>
            </w:r>
            <w:proofErr w:type="spellEnd"/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, les écoles, les </w:t>
            </w:r>
            <w:r w:rsidR="00070D36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centres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de </w:t>
            </w:r>
            <w:r w:rsidR="00D0198F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réadaptation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, l'équitation pour</w:t>
            </w:r>
            <w:r w:rsidR="002450B3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personnes en situation de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handicap, etc</w:t>
            </w:r>
            <w:r w:rsidR="00D3537D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.</w:t>
            </w:r>
          </w:p>
          <w:p w:rsidR="00853D53" w:rsidRPr="002B54B3" w:rsidRDefault="00853D53" w:rsidP="001B0546">
            <w:pPr>
              <w:pStyle w:val="Paragraphedeliste"/>
              <w:ind w:left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20"/>
                <w:lang w:val="fr-FR"/>
              </w:rPr>
            </w:pPr>
          </w:p>
        </w:tc>
      </w:tr>
    </w:tbl>
    <w:p w:rsidR="00D0198F" w:rsidRDefault="00D0198F">
      <w:r>
        <w:rPr>
          <w:b/>
          <w:bCs/>
        </w:rPr>
        <w:br w:type="page"/>
      </w:r>
    </w:p>
    <w:tbl>
      <w:tblPr>
        <w:tblStyle w:val="Tableausimple1"/>
        <w:tblW w:w="9576" w:type="dxa"/>
        <w:tblLook w:val="04A0" w:firstRow="1" w:lastRow="0" w:firstColumn="1" w:lastColumn="0" w:noHBand="0" w:noVBand="1"/>
      </w:tblPr>
      <w:tblGrid>
        <w:gridCol w:w="1838"/>
        <w:gridCol w:w="3685"/>
        <w:gridCol w:w="4053"/>
      </w:tblGrid>
      <w:tr w:rsidR="00853D53" w:rsidRPr="005D1930" w:rsidTr="00D01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853D53" w:rsidRPr="005D1930" w:rsidRDefault="00853D53" w:rsidP="007A4E8C">
            <w:pPr>
              <w:tabs>
                <w:tab w:val="left" w:pos="1293"/>
              </w:tabs>
              <w:rPr>
                <w:szCs w:val="20"/>
                <w:lang w:val="fr-FR"/>
              </w:rPr>
            </w:pPr>
            <w:r w:rsidRPr="00D0198F">
              <w:rPr>
                <w:sz w:val="22"/>
                <w:szCs w:val="20"/>
                <w:lang w:val="fr-FR"/>
              </w:rPr>
              <w:t>5.</w:t>
            </w:r>
            <w:r w:rsidR="001B0546" w:rsidRPr="00D0198F">
              <w:rPr>
                <w:sz w:val="22"/>
                <w:szCs w:val="20"/>
                <w:lang w:val="fr-FR"/>
              </w:rPr>
              <w:t xml:space="preserve"> </w:t>
            </w:r>
            <w:r w:rsidR="007A4E8C" w:rsidRPr="00D0198F">
              <w:rPr>
                <w:sz w:val="22"/>
                <w:szCs w:val="20"/>
                <w:lang w:val="fr-FR"/>
              </w:rPr>
              <w:t>Soutien à la race pur-sang</w:t>
            </w:r>
          </w:p>
        </w:tc>
        <w:tc>
          <w:tcPr>
            <w:tcW w:w="3685" w:type="dxa"/>
            <w:shd w:val="clear" w:color="auto" w:fill="auto"/>
          </w:tcPr>
          <w:p w:rsidR="00853D53" w:rsidRPr="00D0198F" w:rsidRDefault="007A4E8C" w:rsidP="00FF6E8D">
            <w:pPr>
              <w:pStyle w:val="PrformatHTML"/>
              <w:shd w:val="clear" w:color="auto" w:fill="F8F9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202124"/>
                <w:sz w:val="22"/>
                <w:lang w:val="fr-FR"/>
              </w:rPr>
            </w:pPr>
            <w:r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Concerne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 la responsabilité de </w:t>
            </w:r>
            <w:r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l’ensemble de la filière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 des courses </w:t>
            </w:r>
            <w:r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hippiques de galop 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de défendre la race pur-sang, de s'assurer que </w:t>
            </w:r>
            <w:r w:rsidR="002450B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cette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 race reste </w:t>
            </w:r>
            <w:r w:rsidR="002450B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attractive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 sur le marché équestre et </w:t>
            </w:r>
            <w:r w:rsidR="009F2E5C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valoriser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 le travail que font les </w:t>
            </w:r>
            <w:r w:rsidR="009F2E5C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acteurs des 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courses</w:t>
            </w:r>
            <w:r w:rsidR="009F2E5C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 hippiques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 pour </w:t>
            </w:r>
            <w:r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maintenir et </w:t>
            </w:r>
            <w:r w:rsidR="009F2E5C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renforcer</w:t>
            </w:r>
            <w:r w:rsidR="00853D53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 xml:space="preserve"> le suivi des chevaux.</w:t>
            </w:r>
          </w:p>
          <w:p w:rsidR="00853D53" w:rsidRPr="002B54B3" w:rsidRDefault="00853D53" w:rsidP="00FF6E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  <w:lang w:val="fr-FR"/>
              </w:rPr>
            </w:pPr>
          </w:p>
        </w:tc>
        <w:tc>
          <w:tcPr>
            <w:tcW w:w="4053" w:type="dxa"/>
            <w:shd w:val="clear" w:color="auto" w:fill="auto"/>
          </w:tcPr>
          <w:p w:rsidR="00853D53" w:rsidRPr="00D0198F" w:rsidRDefault="00853D53" w:rsidP="00B35154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</w:pPr>
            <w:r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Promouvoir l'athlétisme et la polyvalence du pur-sang auprès du secteur équestre</w:t>
            </w:r>
          </w:p>
          <w:p w:rsidR="00853D53" w:rsidRPr="00D0198F" w:rsidRDefault="00853D53" w:rsidP="00B35154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</w:pPr>
            <w:r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Célébrez le succès des pur-sang dans le</w:t>
            </w:r>
            <w:r w:rsidR="007A4E8C"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ur deuxième carrière</w:t>
            </w:r>
          </w:p>
          <w:p w:rsidR="00853D53" w:rsidRPr="00D0198F" w:rsidRDefault="00853D53" w:rsidP="00B35154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</w:pPr>
            <w:r w:rsidRPr="00D0198F">
              <w:rPr>
                <w:rStyle w:val="y2iqfc"/>
                <w:rFonts w:asciiTheme="minorHAnsi" w:hAnsiTheme="minorHAnsi"/>
                <w:b w:val="0"/>
                <w:color w:val="202124"/>
                <w:sz w:val="22"/>
                <w:lang w:val="fr-FR"/>
              </w:rPr>
              <w:t>Promouvoir les programmes de suivi des courses</w:t>
            </w:r>
          </w:p>
          <w:p w:rsidR="00853D53" w:rsidRPr="00B35154" w:rsidRDefault="00853D53" w:rsidP="00B35154">
            <w:pPr>
              <w:pStyle w:val="Paragraphedeliste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eastAsia="Times New Roman" w:cs="Courier New"/>
                <w:color w:val="202124"/>
                <w:lang w:eastAsia="fr-FR"/>
              </w:rPr>
            </w:pPr>
          </w:p>
        </w:tc>
      </w:tr>
      <w:tr w:rsidR="00D3537D" w:rsidRPr="005D1930" w:rsidTr="00D01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</w:tcPr>
          <w:p w:rsidR="00853D53" w:rsidRPr="005D1930" w:rsidRDefault="00853D53" w:rsidP="007A4E8C">
            <w:pPr>
              <w:rPr>
                <w:szCs w:val="20"/>
                <w:lang w:val="fr-FR"/>
              </w:rPr>
            </w:pPr>
            <w:r w:rsidRPr="00D0198F">
              <w:rPr>
                <w:rFonts w:cs="Arial"/>
                <w:color w:val="202124"/>
                <w:sz w:val="22"/>
                <w:szCs w:val="20"/>
                <w:shd w:val="clear" w:color="auto" w:fill="F8F9FA"/>
                <w:lang w:val="fr-FR"/>
              </w:rPr>
              <w:t>6. Réseau</w:t>
            </w:r>
            <w:r w:rsidR="007A4E8C" w:rsidRPr="00D0198F">
              <w:rPr>
                <w:rFonts w:cs="Arial"/>
                <w:color w:val="202124"/>
                <w:sz w:val="22"/>
                <w:szCs w:val="20"/>
                <w:shd w:val="clear" w:color="auto" w:fill="F8F9FA"/>
                <w:lang w:val="fr-FR"/>
              </w:rPr>
              <w:t>x</w:t>
            </w:r>
          </w:p>
        </w:tc>
        <w:tc>
          <w:tcPr>
            <w:tcW w:w="3685" w:type="dxa"/>
            <w:shd w:val="clear" w:color="auto" w:fill="auto"/>
          </w:tcPr>
          <w:p w:rsidR="007A4E8C" w:rsidRPr="005D1930" w:rsidRDefault="00853D53" w:rsidP="00FF6E8D">
            <w:pPr>
              <w:pStyle w:val="PrformatHTML"/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Le suivi, le bien-être et la traçabilité sont des sujets </w:t>
            </w:r>
            <w:r w:rsidR="007A4E8C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essentiels</w:t>
            </w: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qui ont un impact sur un large éventail de parties prenantes externes. </w:t>
            </w:r>
          </w:p>
          <w:p w:rsidR="00853D53" w:rsidRPr="005D1930" w:rsidRDefault="009F2E5C" w:rsidP="00FF6E8D">
            <w:pPr>
              <w:pStyle w:val="PrformatHTML"/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202124"/>
                <w:sz w:val="22"/>
                <w:lang w:val="fr-FR"/>
              </w:rPr>
            </w:pPr>
            <w:r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Consolider c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e réseau est une activité </w:t>
            </w:r>
            <w:r w:rsidR="00D0198F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essentielle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 qui permet le partage des meilleures pratiques et sous-tend une compréhension commune des activités et des défis de suivi.</w:t>
            </w:r>
          </w:p>
          <w:p w:rsidR="00853D53" w:rsidRPr="005D1930" w:rsidRDefault="00853D53" w:rsidP="00FF6E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fr-FR"/>
              </w:rPr>
            </w:pPr>
          </w:p>
        </w:tc>
        <w:tc>
          <w:tcPr>
            <w:tcW w:w="4053" w:type="dxa"/>
            <w:shd w:val="clear" w:color="auto" w:fill="auto"/>
          </w:tcPr>
          <w:p w:rsidR="00853D53" w:rsidRPr="005D1930" w:rsidRDefault="007A4E8C" w:rsidP="009F2E5C">
            <w:pPr>
              <w:pStyle w:val="PrformatHTML"/>
              <w:numPr>
                <w:ilvl w:val="0"/>
                <w:numId w:val="12"/>
              </w:numPr>
              <w:shd w:val="clear" w:color="auto" w:fill="F8F9F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lang w:val="fr-FR"/>
              </w:rPr>
            </w:pPr>
            <w:r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 xml:space="preserve">La filière hippique doit </w:t>
            </w:r>
            <w:r w:rsidR="00853D53" w:rsidRPr="005D1930">
              <w:rPr>
                <w:rStyle w:val="y2iqfc"/>
                <w:rFonts w:asciiTheme="minorHAnsi" w:hAnsiTheme="minorHAnsi"/>
                <w:color w:val="202124"/>
                <w:sz w:val="22"/>
                <w:lang w:val="fr-FR"/>
              </w:rPr>
              <w:t>s'engager de manière proactive avec les organisations équestres, les organisations caritatives, les groupes d'intérêts spéciaux, les organismes gouvernementaux, les prestataires de services de suivi et les groupes communautaires.</w:t>
            </w:r>
          </w:p>
          <w:p w:rsidR="00853D53" w:rsidRPr="005D1930" w:rsidRDefault="00853D53" w:rsidP="00446CF1">
            <w:pPr>
              <w:pStyle w:val="Paragraphedeliste"/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eastAsia="Times New Roman" w:cs="Courier New"/>
                <w:color w:val="202124"/>
                <w:lang w:val="fr-FR" w:eastAsia="fr-FR"/>
              </w:rPr>
            </w:pPr>
          </w:p>
        </w:tc>
      </w:tr>
    </w:tbl>
    <w:p w:rsidR="00853D53" w:rsidRPr="005D1930" w:rsidRDefault="00853D53" w:rsidP="00853D53">
      <w:pPr>
        <w:spacing w:line="240" w:lineRule="auto"/>
        <w:rPr>
          <w:szCs w:val="20"/>
        </w:rPr>
      </w:pPr>
    </w:p>
    <w:p w:rsidR="00853D53" w:rsidRPr="005D1930" w:rsidRDefault="00853D53">
      <w:pPr>
        <w:rPr>
          <w:rStyle w:val="y2iqfc"/>
          <w:color w:val="202124"/>
          <w:szCs w:val="20"/>
        </w:rPr>
      </w:pPr>
    </w:p>
    <w:sectPr w:rsidR="00853D53" w:rsidRPr="005D1930" w:rsidSect="00D0198F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020B"/>
    <w:multiLevelType w:val="hybridMultilevel"/>
    <w:tmpl w:val="7B80766C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2E6F1B75"/>
    <w:multiLevelType w:val="hybridMultilevel"/>
    <w:tmpl w:val="31A61958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36273908"/>
    <w:multiLevelType w:val="hybridMultilevel"/>
    <w:tmpl w:val="F9609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2559"/>
    <w:multiLevelType w:val="hybridMultilevel"/>
    <w:tmpl w:val="DF6E3358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3E6206B9"/>
    <w:multiLevelType w:val="hybridMultilevel"/>
    <w:tmpl w:val="A518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0D81"/>
    <w:multiLevelType w:val="hybridMultilevel"/>
    <w:tmpl w:val="6F5E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B1E52"/>
    <w:multiLevelType w:val="hybridMultilevel"/>
    <w:tmpl w:val="C7A0B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036E3"/>
    <w:multiLevelType w:val="hybridMultilevel"/>
    <w:tmpl w:val="D6840324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BA30B9A"/>
    <w:multiLevelType w:val="hybridMultilevel"/>
    <w:tmpl w:val="0BF4DF54"/>
    <w:lvl w:ilvl="0" w:tplc="0636A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65275EB"/>
    <w:multiLevelType w:val="hybridMultilevel"/>
    <w:tmpl w:val="06682D22"/>
    <w:lvl w:ilvl="0" w:tplc="CA1064F2">
      <w:start w:val="4"/>
      <w:numFmt w:val="bullet"/>
      <w:lvlText w:val="•"/>
      <w:lvlJc w:val="left"/>
      <w:pPr>
        <w:ind w:left="360" w:hanging="360"/>
      </w:pPr>
      <w:rPr>
        <w:rFonts w:ascii="Calibri" w:eastAsia="Times New Roman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89439A"/>
    <w:multiLevelType w:val="hybridMultilevel"/>
    <w:tmpl w:val="6494181A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77473C65"/>
    <w:multiLevelType w:val="hybridMultilevel"/>
    <w:tmpl w:val="7C6E1218"/>
    <w:lvl w:ilvl="0" w:tplc="040C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8C"/>
    <w:rsid w:val="00070528"/>
    <w:rsid w:val="00070D36"/>
    <w:rsid w:val="001B0546"/>
    <w:rsid w:val="002450B3"/>
    <w:rsid w:val="002669C5"/>
    <w:rsid w:val="00295218"/>
    <w:rsid w:val="002B54B3"/>
    <w:rsid w:val="00446CF1"/>
    <w:rsid w:val="00465EB9"/>
    <w:rsid w:val="004A0864"/>
    <w:rsid w:val="00554C5D"/>
    <w:rsid w:val="005639A9"/>
    <w:rsid w:val="005C76A9"/>
    <w:rsid w:val="005D1930"/>
    <w:rsid w:val="00602A7D"/>
    <w:rsid w:val="0064681F"/>
    <w:rsid w:val="007059D8"/>
    <w:rsid w:val="00734705"/>
    <w:rsid w:val="007A4E8C"/>
    <w:rsid w:val="00853D53"/>
    <w:rsid w:val="0089507B"/>
    <w:rsid w:val="008E6988"/>
    <w:rsid w:val="009F2E5C"/>
    <w:rsid w:val="00B27B1B"/>
    <w:rsid w:val="00B312E6"/>
    <w:rsid w:val="00B35154"/>
    <w:rsid w:val="00BF5C18"/>
    <w:rsid w:val="00C82C59"/>
    <w:rsid w:val="00D0198F"/>
    <w:rsid w:val="00D3537D"/>
    <w:rsid w:val="00DC479C"/>
    <w:rsid w:val="00E67DF5"/>
    <w:rsid w:val="00F542F8"/>
    <w:rsid w:val="00F710A6"/>
    <w:rsid w:val="00F718E7"/>
    <w:rsid w:val="00F72EEC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7B962"/>
  <w15:chartTrackingRefBased/>
  <w15:docId w15:val="{C62F9213-C06C-437E-89CC-39C33B8A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2iqfc">
    <w:name w:val="y2iqfc"/>
    <w:basedOn w:val="Policepardfaut"/>
    <w:rsid w:val="00FE538C"/>
  </w:style>
  <w:style w:type="paragraph" w:styleId="PrformatHTML">
    <w:name w:val="HTML Preformatted"/>
    <w:basedOn w:val="Normal"/>
    <w:link w:val="PrformatHTMLCar"/>
    <w:uiPriority w:val="99"/>
    <w:unhideWhenUsed/>
    <w:rsid w:val="00646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4681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67D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3D53"/>
    <w:rPr>
      <w:color w:val="0000FF" w:themeColor="hyperlink"/>
      <w:u w:val="single"/>
    </w:rPr>
  </w:style>
  <w:style w:type="table" w:styleId="Tableausimple3">
    <w:name w:val="Plain Table 3"/>
    <w:basedOn w:val="TableauNormal"/>
    <w:uiPriority w:val="43"/>
    <w:rsid w:val="00853D53"/>
    <w:pPr>
      <w:spacing w:after="0" w:line="240" w:lineRule="auto"/>
    </w:pPr>
    <w:rPr>
      <w:sz w:val="24"/>
      <w:szCs w:val="24"/>
      <w:lang w:val="en-A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1">
    <w:name w:val="Plain Table 1"/>
    <w:basedOn w:val="TableauNormal"/>
    <w:uiPriority w:val="41"/>
    <w:rsid w:val="00853D53"/>
    <w:pPr>
      <w:spacing w:after="0" w:line="240" w:lineRule="auto"/>
    </w:pPr>
    <w:rPr>
      <w:sz w:val="24"/>
      <w:szCs w:val="24"/>
      <w:lang w:val="en-A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ternationalracehorseaftercar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BCB4-9246-4625-9942-133E8FCB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Hovelian, Virginie</dc:creator>
  <cp:keywords/>
  <dc:description/>
  <cp:lastModifiedBy>Hovelian, Virginie</cp:lastModifiedBy>
  <cp:revision>29</cp:revision>
  <cp:lastPrinted>2022-11-17T09:22:00Z</cp:lastPrinted>
  <dcterms:created xsi:type="dcterms:W3CDTF">2022-11-16T09:07:00Z</dcterms:created>
  <dcterms:modified xsi:type="dcterms:W3CDTF">2022-11-17T13:37:00Z</dcterms:modified>
</cp:coreProperties>
</file>